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7A20B9" w:rsidP="00423F93">
            <w:pPr>
              <w:jc w:val="center"/>
            </w:pPr>
            <w:r>
              <w:t>0</w:t>
            </w:r>
            <w:r w:rsidR="00DF0E7B">
              <w:t>8</w:t>
            </w:r>
            <w:r w:rsidR="00876287">
              <w:t>.</w:t>
            </w:r>
            <w:r>
              <w:t>04</w:t>
            </w:r>
            <w:r w:rsidR="00876287">
              <w:t>.201</w:t>
            </w:r>
            <w:r>
              <w:t>5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B90676">
              <w:rPr>
                <w:b/>
              </w:rPr>
              <w:t xml:space="preserve"> </w:t>
            </w:r>
            <w:r w:rsidR="00D847D3">
              <w:rPr>
                <w:b/>
              </w:rPr>
              <w:t>1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3729ED" w:rsidP="007A20B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TARİFE </w:t>
            </w:r>
            <w:r w:rsidR="00237FAE" w:rsidRPr="00603676">
              <w:rPr>
                <w:b/>
                <w:sz w:val="24"/>
                <w:szCs w:val="24"/>
              </w:rPr>
              <w:t xml:space="preserve"> KOMİSYONU</w:t>
            </w:r>
            <w:proofErr w:type="gramEnd"/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Pr="000C7E39" w:rsidRDefault="004C023B" w:rsidP="00603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0C7E39" w:rsidRDefault="00B1796A" w:rsidP="00D847D3">
            <w:pPr>
              <w:ind w:right="1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D847D3" w:rsidRPr="000C7E3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0B4E92" w:rsidRDefault="000B4E92" w:rsidP="000C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E92" w:rsidRDefault="000B4E92" w:rsidP="000C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E39" w:rsidRPr="00A24863" w:rsidRDefault="000C7E39" w:rsidP="000C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KONUNUN </w:t>
            </w:r>
            <w:proofErr w:type="gramStart"/>
            <w:r w:rsidRPr="007E0DE0">
              <w:rPr>
                <w:rFonts w:ascii="Times New Roman" w:hAnsi="Times New Roman" w:cs="Times New Roman"/>
                <w:b/>
                <w:sz w:val="24"/>
                <w:szCs w:val="24"/>
              </w:rPr>
              <w:t>ÖZÜ :</w:t>
            </w:r>
            <w:r w:rsidR="00704BA8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  <w:proofErr w:type="gramEnd"/>
            <w:r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YILI GELİR TARİFESİ</w:t>
            </w:r>
          </w:p>
          <w:p w:rsidR="000C7E39" w:rsidRPr="00A24863" w:rsidRDefault="000C7E39" w:rsidP="000C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92" w:rsidRDefault="000B4E92" w:rsidP="000C7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7D3" w:rsidRPr="00A24863" w:rsidRDefault="000C7E39" w:rsidP="000C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E0">
              <w:rPr>
                <w:rFonts w:ascii="Times New Roman" w:hAnsi="Times New Roman" w:cs="Times New Roman"/>
                <w:b/>
                <w:sz w:val="24"/>
                <w:szCs w:val="24"/>
              </w:rPr>
              <w:t>KOMİSYON İNCELEMESİ:</w:t>
            </w:r>
            <w:r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5393 sayılı Belediye Kanunu’ </w:t>
            </w:r>
            <w:proofErr w:type="spellStart"/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nun</w:t>
            </w:r>
            <w:proofErr w:type="spellEnd"/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  <w:proofErr w:type="gramStart"/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Mad</w:t>
            </w:r>
            <w:r w:rsidR="003D2C36">
              <w:rPr>
                <w:rFonts w:ascii="Times New Roman" w:hAnsi="Times New Roman" w:cs="Times New Roman"/>
                <w:sz w:val="24"/>
                <w:szCs w:val="24"/>
              </w:rPr>
              <w:t xml:space="preserve">desi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 gereği</w:t>
            </w:r>
            <w:proofErr w:type="gramEnd"/>
            <w:r w:rsidR="003D2C36">
              <w:rPr>
                <w:rFonts w:ascii="Times New Roman" w:hAnsi="Times New Roman" w:cs="Times New Roman"/>
                <w:sz w:val="24"/>
                <w:szCs w:val="24"/>
              </w:rPr>
              <w:t xml:space="preserve"> Belediye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Meclis</w:t>
            </w:r>
            <w:r w:rsidR="003D2C36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havale edilerek, Belediye  Meclisimizin </w:t>
            </w:r>
            <w:r w:rsidR="007A20B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20B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A2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 - P</w:t>
            </w:r>
            <w:r w:rsidR="007A20B9">
              <w:rPr>
                <w:rFonts w:ascii="Times New Roman" w:hAnsi="Times New Roman" w:cs="Times New Roman"/>
                <w:sz w:val="24"/>
                <w:szCs w:val="24"/>
              </w:rPr>
              <w:t>azartesi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günü  yapılan </w:t>
            </w:r>
            <w:r w:rsidR="007A20B9"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  ayı olağan  toplantısı 1.birleşiminde gündemin; </w:t>
            </w:r>
            <w:r w:rsidR="007A20B9">
              <w:rPr>
                <w:rFonts w:ascii="Times New Roman" w:hAnsi="Times New Roman" w:cs="Times New Roman"/>
                <w:b/>
                <w:sz w:val="24"/>
                <w:szCs w:val="24"/>
              </w:rPr>
              <w:t>16. (Ek: 2. Madde) Maddesi</w:t>
            </w:r>
            <w:r w:rsidR="00D847D3" w:rsidRPr="00A24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olarak görüşülen “201</w:t>
            </w:r>
            <w:r w:rsidR="00704B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847D3" w:rsidRPr="00A24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yılı Gelir Tarifesi”</w:t>
            </w:r>
            <w:r w:rsidR="00595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20B9">
              <w:rPr>
                <w:rFonts w:ascii="Times New Roman" w:hAnsi="Times New Roman" w:cs="Times New Roman"/>
                <w:bCs/>
                <w:sz w:val="24"/>
                <w:szCs w:val="24"/>
              </w:rPr>
              <w:t>değişikl</w:t>
            </w:r>
            <w:r w:rsidR="003D2C3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7A20B9">
              <w:rPr>
                <w:rFonts w:ascii="Times New Roman" w:hAnsi="Times New Roman" w:cs="Times New Roman"/>
                <w:bCs/>
                <w:sz w:val="24"/>
                <w:szCs w:val="24"/>
              </w:rPr>
              <w:t>ği</w:t>
            </w:r>
            <w:r w:rsidR="00D847D3" w:rsidRPr="00A24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5393 sayılı Belediye Kanunu’nun  (18/f) maddesi  hükümleri uyarınca görüşülerek,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incelenip, değerlendirilmek ve  rapora bağlanmak üzere  Tarife Komisyonuna  havale edilmiştir. </w:t>
            </w:r>
          </w:p>
          <w:p w:rsidR="00D847D3" w:rsidRPr="00A24863" w:rsidRDefault="00D847D3" w:rsidP="00D8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92" w:rsidRDefault="000B4E92" w:rsidP="00D84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7D3" w:rsidRPr="00A24863" w:rsidRDefault="000C7E39" w:rsidP="00D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E0">
              <w:rPr>
                <w:rFonts w:ascii="Times New Roman" w:hAnsi="Times New Roman" w:cs="Times New Roman"/>
                <w:b/>
                <w:sz w:val="24"/>
                <w:szCs w:val="24"/>
              </w:rPr>
              <w:t>KOMİSYON KARARI :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 xml:space="preserve">Komisyonumuzca  </w:t>
            </w:r>
            <w:r w:rsidR="00BF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04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BF7B82">
              <w:rPr>
                <w:rFonts w:ascii="Times New Roman" w:hAnsi="Times New Roman" w:cs="Times New Roman"/>
                <w:sz w:val="24"/>
                <w:szCs w:val="24"/>
              </w:rPr>
              <w:t xml:space="preserve"> yılı Gelir Tarifeler</w:t>
            </w:r>
            <w:r w:rsidR="00D847D3" w:rsidRPr="00A248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F7B82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="00A24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D8E">
              <w:rPr>
                <w:rFonts w:ascii="Times New Roman" w:hAnsi="Times New Roman" w:cs="Times New Roman"/>
                <w:sz w:val="24"/>
                <w:szCs w:val="24"/>
              </w:rPr>
              <w:t xml:space="preserve">Ruhsat ve Denetim Müdürlüğü 2015 Yılı İşyeri Açma ve Çalışma Ruhsat Onayında </w:t>
            </w:r>
            <w:r w:rsidR="003638DB">
              <w:rPr>
                <w:rFonts w:ascii="Times New Roman" w:hAnsi="Times New Roman" w:cs="Times New Roman"/>
                <w:sz w:val="24"/>
                <w:szCs w:val="24"/>
              </w:rPr>
              <w:t xml:space="preserve">Alınacak Ücretler Bölümünün </w:t>
            </w:r>
            <w:r w:rsidR="00FE259C">
              <w:rPr>
                <w:rFonts w:ascii="Times New Roman" w:hAnsi="Times New Roman" w:cs="Times New Roman"/>
                <w:sz w:val="24"/>
                <w:szCs w:val="24"/>
              </w:rPr>
              <w:t>38. Maddesi üzerinde yapılan inceleme neticesinde harç konusu yapılan ‘’Ruhsat Devir-yenileme ve değişim işlemlerinde Muayene Ücretinin %50 si</w:t>
            </w:r>
            <w:r w:rsidR="00517194">
              <w:rPr>
                <w:rFonts w:ascii="Times New Roman" w:hAnsi="Times New Roman" w:cs="Times New Roman"/>
                <w:sz w:val="24"/>
                <w:szCs w:val="24"/>
              </w:rPr>
              <w:t xml:space="preserve"> tahakkuk edilir denilmekte olduğu görülmüştür.</w:t>
            </w:r>
            <w:r w:rsidR="007C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AD9">
              <w:rPr>
                <w:rFonts w:ascii="Times New Roman" w:hAnsi="Times New Roman" w:cs="Times New Roman"/>
                <w:sz w:val="24"/>
                <w:szCs w:val="24"/>
              </w:rPr>
              <w:t xml:space="preserve">İsim ve Unvan değişikliği yapan işletmeler bu durumda mağduriyet yaşamakta ve harç ödemek zorunda kaldıkları </w:t>
            </w:r>
            <w:proofErr w:type="gramStart"/>
            <w:r w:rsidR="005B6AD9">
              <w:rPr>
                <w:rFonts w:ascii="Times New Roman" w:hAnsi="Times New Roman" w:cs="Times New Roman"/>
                <w:sz w:val="24"/>
                <w:szCs w:val="24"/>
              </w:rPr>
              <w:t>anlaşılmakta</w:t>
            </w:r>
            <w:r w:rsidR="00175558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  <w:r w:rsidR="00FA787A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gramEnd"/>
            <w:r w:rsidR="00FA787A">
              <w:rPr>
                <w:rFonts w:ascii="Times New Roman" w:hAnsi="Times New Roman" w:cs="Times New Roman"/>
                <w:sz w:val="24"/>
                <w:szCs w:val="24"/>
              </w:rPr>
              <w:t xml:space="preserve"> mağduriyetin giderilebilmesi için Ruhsat ve Denetim Müdürlüğü Tarafından teklif edilen</w:t>
            </w:r>
            <w:r w:rsidR="00C026E0">
              <w:rPr>
                <w:rFonts w:ascii="Times New Roman" w:hAnsi="Times New Roman" w:cs="Times New Roman"/>
                <w:sz w:val="24"/>
                <w:szCs w:val="24"/>
              </w:rPr>
              <w:t xml:space="preserve"> ve aşağıda gösterilen</w:t>
            </w:r>
            <w:r w:rsidR="00FA7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7BB">
              <w:rPr>
                <w:rFonts w:ascii="Times New Roman" w:hAnsi="Times New Roman" w:cs="Times New Roman"/>
                <w:sz w:val="24"/>
                <w:szCs w:val="24"/>
              </w:rPr>
              <w:t>38. Madde üzerindeki değişikli</w:t>
            </w:r>
            <w:r w:rsidR="00DF0E7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977BB">
              <w:rPr>
                <w:rFonts w:ascii="Times New Roman" w:hAnsi="Times New Roman" w:cs="Times New Roman"/>
                <w:sz w:val="24"/>
                <w:szCs w:val="24"/>
              </w:rPr>
              <w:t xml:space="preserve"> komisyonumuzca oybirliği ile kabul edilmiştir.0</w:t>
            </w:r>
            <w:r w:rsidR="006D0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7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77B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07A2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97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47D3" w:rsidRDefault="00D847D3" w:rsidP="00D847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20" w:rsidRPr="00A24863" w:rsidRDefault="00A45D4A" w:rsidP="00D847D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Meclisin </w:t>
            </w:r>
            <w:r w:rsidR="0031554B">
              <w:rPr>
                <w:rFonts w:ascii="Times New Roman" w:hAnsi="Times New Roman" w:cs="Times New Roman"/>
                <w:sz w:val="24"/>
                <w:szCs w:val="24"/>
              </w:rPr>
              <w:t>onayına arz olunur.</w:t>
            </w:r>
          </w:p>
          <w:p w:rsidR="001703E8" w:rsidRDefault="00D847D3" w:rsidP="00570646">
            <w:pPr>
              <w:rPr>
                <w:b/>
                <w:sz w:val="24"/>
                <w:szCs w:val="24"/>
              </w:rPr>
            </w:pPr>
            <w:r w:rsidRPr="00A248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4E92" w:rsidRDefault="000B4E92" w:rsidP="001703E8">
            <w:pPr>
              <w:rPr>
                <w:sz w:val="24"/>
                <w:szCs w:val="24"/>
              </w:rPr>
            </w:pPr>
          </w:p>
          <w:p w:rsidR="000B4E92" w:rsidRDefault="000B4E92" w:rsidP="001703E8">
            <w:pPr>
              <w:rPr>
                <w:sz w:val="24"/>
                <w:szCs w:val="24"/>
              </w:rPr>
            </w:pPr>
          </w:p>
          <w:p w:rsidR="000B4E92" w:rsidRDefault="000B4E92" w:rsidP="001703E8">
            <w:pPr>
              <w:rPr>
                <w:sz w:val="24"/>
                <w:szCs w:val="24"/>
              </w:rPr>
            </w:pPr>
          </w:p>
          <w:p w:rsidR="00C026E0" w:rsidRDefault="00C026E0" w:rsidP="0017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38.Madde Üzerinde Yapılan Değişiklik Teklifi;</w:t>
            </w:r>
          </w:p>
          <w:p w:rsidR="00C026E0" w:rsidRDefault="00C026E0" w:rsidP="0017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RUHSAT DEVİR: İşletme hakkı devrini kapsamaktadır.</w:t>
            </w:r>
          </w:p>
          <w:p w:rsidR="001703E8" w:rsidRDefault="00C026E0" w:rsidP="0017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RUHSAT </w:t>
            </w:r>
            <w:proofErr w:type="gramStart"/>
            <w:r>
              <w:rPr>
                <w:sz w:val="24"/>
                <w:szCs w:val="24"/>
              </w:rPr>
              <w:t>YENİLEME:Daha</w:t>
            </w:r>
            <w:proofErr w:type="gramEnd"/>
            <w:r>
              <w:rPr>
                <w:sz w:val="24"/>
                <w:szCs w:val="24"/>
              </w:rPr>
              <w:t xml:space="preserve"> önce ruhsatı olup, unvan değişikliği</w:t>
            </w:r>
            <w:r w:rsidR="003B4F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(vergi numarasının aynı kalması koşulu ile), bilgi güncelleme (</w:t>
            </w:r>
            <w:proofErr w:type="spellStart"/>
            <w:r>
              <w:rPr>
                <w:sz w:val="24"/>
                <w:szCs w:val="24"/>
              </w:rPr>
              <w:t>numarata</w:t>
            </w:r>
            <w:r w:rsidR="003B4FFD">
              <w:rPr>
                <w:sz w:val="24"/>
                <w:szCs w:val="24"/>
              </w:rPr>
              <w:t>j</w:t>
            </w:r>
            <w:proofErr w:type="spellEnd"/>
            <w:r>
              <w:rPr>
                <w:sz w:val="24"/>
                <w:szCs w:val="24"/>
              </w:rPr>
              <w:t xml:space="preserve"> ve benzeri değişikliklerde), faaliyet konusu eklenmesi, şirket niteliğinin</w:t>
            </w:r>
            <w:r w:rsidR="003B4FFD">
              <w:rPr>
                <w:sz w:val="24"/>
                <w:szCs w:val="24"/>
              </w:rPr>
              <w:t xml:space="preserve"> LTD’</w:t>
            </w:r>
            <w:r>
              <w:rPr>
                <w:sz w:val="24"/>
                <w:szCs w:val="24"/>
              </w:rPr>
              <w:t xml:space="preserve"> den A.Ş</w:t>
            </w:r>
            <w:r w:rsidR="003B4FFD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ye dönüşümü, işyeri sınıfının yükseltilmesi-düşürülmesi konularında ruhsat yenilemesi yapılması.</w:t>
            </w:r>
          </w:p>
          <w:p w:rsidR="00C026E0" w:rsidRDefault="00C026E0" w:rsidP="0017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RUHSAT DEĞİŞİMİ: Belde Belediyelerine ait ruhsatların Büyükçekmece Belediyesi tarafından ruhsat değişim işleminin yapılması</w:t>
            </w:r>
          </w:p>
          <w:p w:rsidR="000B4E92" w:rsidRDefault="000B4E92" w:rsidP="001703E8">
            <w:pPr>
              <w:rPr>
                <w:sz w:val="24"/>
                <w:szCs w:val="24"/>
              </w:rPr>
            </w:pPr>
          </w:p>
          <w:p w:rsidR="000B4E92" w:rsidRDefault="000B4E92" w:rsidP="001703E8">
            <w:pPr>
              <w:rPr>
                <w:sz w:val="24"/>
                <w:szCs w:val="24"/>
              </w:rPr>
            </w:pPr>
          </w:p>
          <w:p w:rsidR="000B4E92" w:rsidRDefault="000B4E92" w:rsidP="001703E8">
            <w:pPr>
              <w:rPr>
                <w:sz w:val="24"/>
                <w:szCs w:val="24"/>
              </w:rPr>
            </w:pPr>
          </w:p>
          <w:p w:rsidR="000B4E92" w:rsidRDefault="000B4E92" w:rsidP="001703E8">
            <w:pPr>
              <w:rPr>
                <w:sz w:val="24"/>
                <w:szCs w:val="24"/>
              </w:rPr>
            </w:pPr>
          </w:p>
          <w:p w:rsidR="000B4E92" w:rsidRDefault="000B4E92" w:rsidP="001703E8">
            <w:pPr>
              <w:rPr>
                <w:sz w:val="24"/>
                <w:szCs w:val="24"/>
              </w:rPr>
            </w:pPr>
          </w:p>
          <w:p w:rsidR="000B4E92" w:rsidRDefault="000B4E92" w:rsidP="001703E8">
            <w:pPr>
              <w:rPr>
                <w:sz w:val="24"/>
                <w:szCs w:val="24"/>
              </w:rPr>
            </w:pPr>
          </w:p>
          <w:p w:rsidR="000B4E92" w:rsidRDefault="000B4E92" w:rsidP="001703E8">
            <w:pPr>
              <w:rPr>
                <w:sz w:val="24"/>
                <w:szCs w:val="24"/>
              </w:rPr>
            </w:pPr>
          </w:p>
          <w:p w:rsidR="00C026E0" w:rsidRDefault="003B4FFD" w:rsidP="0017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SONUÇ: 1- Ruhsat yenileme/Ruhsat değişim işleminde basılı evrak ücreti ile ruhsatlandırılacaktır.</w:t>
            </w:r>
          </w:p>
          <w:p w:rsidR="003B4FFD" w:rsidRPr="00C026E0" w:rsidRDefault="003B4FFD" w:rsidP="0017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2- Ruhsat devir işlemlerinde muayene ücretinin % 50 si alınarak ruhsatlandırılacaktır.</w:t>
            </w:r>
          </w:p>
          <w:p w:rsidR="001703E8" w:rsidRDefault="001703E8" w:rsidP="001703E8">
            <w:pPr>
              <w:rPr>
                <w:b/>
                <w:sz w:val="24"/>
                <w:szCs w:val="24"/>
              </w:rPr>
            </w:pPr>
          </w:p>
          <w:p w:rsidR="000B4E92" w:rsidRDefault="000B4E92" w:rsidP="001703E8">
            <w:pPr>
              <w:rPr>
                <w:b/>
                <w:sz w:val="24"/>
                <w:szCs w:val="24"/>
              </w:rPr>
            </w:pPr>
          </w:p>
          <w:p w:rsidR="000B4E92" w:rsidRDefault="000B4E92" w:rsidP="001703E8">
            <w:pPr>
              <w:rPr>
                <w:b/>
                <w:sz w:val="24"/>
                <w:szCs w:val="24"/>
              </w:rPr>
            </w:pPr>
          </w:p>
          <w:p w:rsidR="000B4E92" w:rsidRDefault="000B4E92" w:rsidP="001703E8">
            <w:pPr>
              <w:rPr>
                <w:b/>
                <w:sz w:val="24"/>
                <w:szCs w:val="24"/>
              </w:rPr>
            </w:pPr>
          </w:p>
          <w:p w:rsidR="000B4E92" w:rsidRDefault="000B4E92" w:rsidP="001703E8">
            <w:pPr>
              <w:rPr>
                <w:b/>
                <w:sz w:val="24"/>
                <w:szCs w:val="24"/>
              </w:rPr>
            </w:pPr>
          </w:p>
          <w:p w:rsidR="000B4E92" w:rsidRDefault="000B4E92" w:rsidP="001703E8">
            <w:pPr>
              <w:rPr>
                <w:b/>
                <w:sz w:val="24"/>
                <w:szCs w:val="24"/>
              </w:rPr>
            </w:pPr>
          </w:p>
          <w:p w:rsidR="000B4E92" w:rsidRDefault="000B4E92" w:rsidP="001703E8">
            <w:pPr>
              <w:rPr>
                <w:b/>
                <w:sz w:val="24"/>
                <w:szCs w:val="24"/>
              </w:rPr>
            </w:pPr>
          </w:p>
          <w:p w:rsidR="000B4E92" w:rsidRDefault="000B4E92" w:rsidP="001703E8">
            <w:pPr>
              <w:rPr>
                <w:b/>
                <w:sz w:val="24"/>
                <w:szCs w:val="24"/>
              </w:rPr>
            </w:pPr>
          </w:p>
          <w:p w:rsidR="000B4E92" w:rsidRDefault="000B4E92" w:rsidP="001703E8">
            <w:pPr>
              <w:rPr>
                <w:b/>
                <w:sz w:val="24"/>
                <w:szCs w:val="24"/>
              </w:rPr>
            </w:pPr>
          </w:p>
          <w:p w:rsidR="000B4E92" w:rsidRDefault="000B4E92" w:rsidP="001703E8">
            <w:pPr>
              <w:rPr>
                <w:b/>
                <w:sz w:val="24"/>
                <w:szCs w:val="24"/>
              </w:rPr>
            </w:pPr>
          </w:p>
          <w:p w:rsidR="000B4E92" w:rsidRDefault="000B4E92" w:rsidP="001703E8">
            <w:pPr>
              <w:rPr>
                <w:b/>
                <w:sz w:val="24"/>
                <w:szCs w:val="24"/>
              </w:rPr>
            </w:pPr>
          </w:p>
          <w:p w:rsidR="000B4E92" w:rsidRDefault="000B4E92" w:rsidP="001703E8">
            <w:pPr>
              <w:rPr>
                <w:b/>
                <w:sz w:val="24"/>
                <w:szCs w:val="24"/>
              </w:rPr>
            </w:pPr>
          </w:p>
          <w:p w:rsidR="00A45D4A" w:rsidRPr="00974A4F" w:rsidRDefault="008E683A" w:rsidP="00A45D4A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Dilek TEKİN</w:t>
            </w:r>
          </w:p>
          <w:p w:rsidR="00A45D4A" w:rsidRPr="00974A4F" w:rsidRDefault="00A45D4A" w:rsidP="00A45D4A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4A4F">
              <w:rPr>
                <w:rFonts w:ascii="Times New Roman" w:hAnsi="Times New Roman" w:cs="Times New Roman"/>
                <w:b/>
                <w:bCs/>
              </w:rPr>
              <w:t>Komisyon Başkanı</w:t>
            </w:r>
          </w:p>
          <w:p w:rsidR="00A45D4A" w:rsidRPr="00974A4F" w:rsidRDefault="00A45D4A" w:rsidP="00A45D4A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45D4A" w:rsidRPr="00974A4F" w:rsidRDefault="00A45D4A" w:rsidP="00A45D4A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45D4A" w:rsidRDefault="00A45D4A" w:rsidP="0082746D">
            <w:pPr>
              <w:tabs>
                <w:tab w:val="left" w:pos="645"/>
                <w:tab w:val="left" w:pos="1155"/>
                <w:tab w:val="center" w:pos="4479"/>
              </w:tabs>
              <w:ind w:right="85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="0082746D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8E683A">
              <w:rPr>
                <w:rFonts w:ascii="Times New Roman" w:hAnsi="Times New Roman" w:cs="Times New Roman"/>
                <w:b/>
                <w:bCs/>
              </w:rPr>
              <w:t>Mustafa AYDIN</w:t>
            </w:r>
            <w:r w:rsidRPr="00974A4F"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  <w:r w:rsidR="0082746D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974A4F">
              <w:rPr>
                <w:rFonts w:ascii="Times New Roman" w:hAnsi="Times New Roman" w:cs="Times New Roman"/>
                <w:b/>
                <w:bCs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82746D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974A4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E683A">
              <w:rPr>
                <w:rFonts w:ascii="Times New Roman" w:hAnsi="Times New Roman" w:cs="Times New Roman"/>
                <w:b/>
                <w:bCs/>
              </w:rPr>
              <w:t>Haluk HELVACIOĞLU</w:t>
            </w:r>
          </w:p>
          <w:p w:rsidR="00A45D4A" w:rsidRPr="00974A4F" w:rsidRDefault="00E25151" w:rsidP="00A45D4A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F46E4D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F917E8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F46E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F46E4D">
              <w:rPr>
                <w:rFonts w:ascii="Times New Roman" w:hAnsi="Times New Roman" w:cs="Times New Roman"/>
                <w:b/>
                <w:bCs/>
              </w:rPr>
              <w:t>R</w:t>
            </w:r>
            <w:r w:rsidR="00F917E8">
              <w:rPr>
                <w:rFonts w:ascii="Times New Roman" w:hAnsi="Times New Roman" w:cs="Times New Roman"/>
                <w:b/>
                <w:bCs/>
              </w:rPr>
              <w:t>aportör</w:t>
            </w:r>
            <w:r w:rsidR="00A45D4A">
              <w:rPr>
                <w:rFonts w:ascii="Times New Roman" w:hAnsi="Times New Roman" w:cs="Times New Roman"/>
                <w:b/>
                <w:bCs/>
              </w:rPr>
              <w:t xml:space="preserve">                           </w:t>
            </w:r>
            <w:r w:rsidR="00A45D4A" w:rsidRPr="00974A4F"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  <w:r w:rsidR="00F917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45D4A" w:rsidRPr="00974A4F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A45D4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82746D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91A0D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AE38A5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091A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45D4A" w:rsidRPr="00974A4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917E8">
              <w:rPr>
                <w:rFonts w:ascii="Times New Roman" w:hAnsi="Times New Roman" w:cs="Times New Roman"/>
                <w:b/>
                <w:bCs/>
              </w:rPr>
              <w:t>Komisyon Başkan Vekili</w:t>
            </w:r>
          </w:p>
          <w:p w:rsidR="00A45D4A" w:rsidRPr="00974A4F" w:rsidRDefault="0082746D" w:rsidP="00A45D4A">
            <w:pPr>
              <w:ind w:right="850"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45D4A" w:rsidRDefault="00A45D4A" w:rsidP="00A45D4A">
            <w:pPr>
              <w:ind w:right="850"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226C" w:rsidRDefault="00EC226C" w:rsidP="00A45D4A">
            <w:pPr>
              <w:ind w:right="850"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226C" w:rsidRPr="00974A4F" w:rsidRDefault="00EC226C" w:rsidP="00A45D4A">
            <w:pPr>
              <w:ind w:right="850"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45D4A" w:rsidRPr="00974A4F" w:rsidRDefault="00A45D4A" w:rsidP="00A45D4A">
            <w:pPr>
              <w:ind w:right="850"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45D4A" w:rsidRPr="00974A4F" w:rsidRDefault="00A45D4A" w:rsidP="00A45D4A">
            <w:pPr>
              <w:ind w:right="850"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45D4A" w:rsidRPr="00974A4F" w:rsidRDefault="00E25151" w:rsidP="00A45D4A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8E683A">
              <w:rPr>
                <w:rFonts w:ascii="Times New Roman" w:hAnsi="Times New Roman" w:cs="Times New Roman"/>
                <w:b/>
                <w:bCs/>
              </w:rPr>
              <w:t>Bedir GÜRSES</w:t>
            </w:r>
            <w:r w:rsidR="00A45D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45D4A" w:rsidRPr="00974A4F">
              <w:rPr>
                <w:rFonts w:ascii="Times New Roman" w:hAnsi="Times New Roman" w:cs="Times New Roman"/>
                <w:b/>
                <w:bCs/>
              </w:rPr>
              <w:t xml:space="preserve">                                       </w:t>
            </w:r>
            <w:r w:rsidR="00A45D4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82746D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A45D4A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A45D4A" w:rsidRPr="00974A4F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45D4A" w:rsidRPr="00974A4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8E683A">
              <w:rPr>
                <w:rFonts w:ascii="Times New Roman" w:hAnsi="Times New Roman" w:cs="Times New Roman"/>
                <w:b/>
                <w:bCs/>
              </w:rPr>
              <w:t>Mehmet AYTEKİN</w:t>
            </w:r>
          </w:p>
          <w:p w:rsidR="00A45D4A" w:rsidRPr="00974A4F" w:rsidRDefault="00A45D4A" w:rsidP="00A45D4A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ÜY</w:t>
            </w:r>
            <w:r w:rsidRPr="00974A4F">
              <w:rPr>
                <w:rFonts w:ascii="Times New Roman" w:hAnsi="Times New Roman" w:cs="Times New Roman"/>
                <w:b/>
                <w:bCs/>
              </w:rPr>
              <w:t xml:space="preserve">E                                                                       </w:t>
            </w:r>
            <w:r w:rsidR="0082746D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974A4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proofErr w:type="spellStart"/>
            <w:r w:rsidRPr="00974A4F">
              <w:rPr>
                <w:rFonts w:ascii="Times New Roman" w:hAnsi="Times New Roman" w:cs="Times New Roman"/>
                <w:b/>
                <w:bCs/>
              </w:rPr>
              <w:t>ÜYE</w:t>
            </w:r>
            <w:proofErr w:type="spellEnd"/>
          </w:p>
          <w:p w:rsidR="00A45D4A" w:rsidRPr="00974A4F" w:rsidRDefault="00A45D4A" w:rsidP="00A45D4A">
            <w:pPr>
              <w:ind w:right="850"/>
              <w:rPr>
                <w:rFonts w:ascii="Times New Roman" w:hAnsi="Times New Roman" w:cs="Times New Roman"/>
                <w:bCs/>
              </w:rPr>
            </w:pPr>
          </w:p>
          <w:p w:rsidR="00A45D4A" w:rsidRPr="00974A4F" w:rsidRDefault="00A45D4A" w:rsidP="00A45D4A">
            <w:pPr>
              <w:ind w:right="850"/>
              <w:jc w:val="both"/>
              <w:rPr>
                <w:rFonts w:ascii="Times New Roman" w:hAnsi="Times New Roman" w:cs="Times New Roman"/>
                <w:bCs/>
              </w:rPr>
            </w:pPr>
          </w:p>
          <w:p w:rsidR="00D847D3" w:rsidRPr="00A24863" w:rsidRDefault="00D847D3" w:rsidP="00D847D3">
            <w:pPr>
              <w:ind w:right="1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A24863" w:rsidRDefault="00D847D3" w:rsidP="00D847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47D3" w:rsidRPr="00A24863" w:rsidRDefault="00D847D3" w:rsidP="00D847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67B" w:rsidRDefault="0011267B" w:rsidP="0011267B">
            <w:pPr>
              <w:tabs>
                <w:tab w:val="left" w:pos="391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D847D3" w:rsidRPr="000C7E39" w:rsidRDefault="00D847D3" w:rsidP="00D847D3">
            <w:pPr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D3" w:rsidRPr="000C7E39" w:rsidRDefault="00D847D3" w:rsidP="00D847D3">
            <w:pPr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4E" w:rsidRPr="000C7E39" w:rsidRDefault="00CA7F4E" w:rsidP="00D8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67B" w:rsidRPr="000C7E39" w:rsidRDefault="0052567B" w:rsidP="00D8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E0" w:rsidRPr="000C7E39" w:rsidRDefault="004716E0" w:rsidP="009551E9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7337" w:rsidRPr="000C7E39" w:rsidRDefault="00A57337" w:rsidP="00A5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55C" w:rsidTr="004F6272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5C" w:rsidRDefault="00B5255C" w:rsidP="00603676"/>
        </w:tc>
      </w:tr>
    </w:tbl>
    <w:p w:rsidR="003964C7" w:rsidRDefault="003964C7" w:rsidP="0027710C"/>
    <w:sectPr w:rsidR="003964C7" w:rsidSect="0099523F">
      <w:footerReference w:type="default" r:id="rId9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7CA" w:rsidRDefault="00EC67CA" w:rsidP="00603676">
      <w:pPr>
        <w:spacing w:after="0" w:line="240" w:lineRule="auto"/>
      </w:pPr>
      <w:r>
        <w:separator/>
      </w:r>
    </w:p>
  </w:endnote>
  <w:endnote w:type="continuationSeparator" w:id="1">
    <w:p w:rsidR="00EC67CA" w:rsidRDefault="00EC67CA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76" w:rsidRDefault="00E94CD0">
    <w:pPr>
      <w:pStyle w:val="Altbilgi"/>
      <w:jc w:val="center"/>
    </w:pPr>
    <w:r w:rsidRPr="00E94CD0">
      <w:rPr>
        <w:color w:val="FFFFFF" w:themeColor="background1"/>
      </w:rPr>
    </w:r>
    <w:r w:rsidRPr="00E94CD0"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E94CD0">
                  <w:pPr>
                    <w:jc w:val="center"/>
                    <w:rPr>
                      <w:color w:val="FFFFFF" w:themeColor="background1"/>
                    </w:rPr>
                  </w:pPr>
                  <w:fldSimple w:instr=" PAGE    \* MERGEFORMAT ">
                    <w:r w:rsidR="007C14AA" w:rsidRPr="007C14AA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7CA" w:rsidRDefault="00EC67CA" w:rsidP="00603676">
      <w:pPr>
        <w:spacing w:after="0" w:line="240" w:lineRule="auto"/>
      </w:pPr>
      <w:r>
        <w:separator/>
      </w:r>
    </w:p>
  </w:footnote>
  <w:footnote w:type="continuationSeparator" w:id="1">
    <w:p w:rsidR="00EC67CA" w:rsidRDefault="00EC67CA" w:rsidP="0060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>
      <o:colormenu v:ext="edit" fillcolor="none [3213]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0B0C"/>
    <w:rsid w:val="000007FB"/>
    <w:rsid w:val="00007A20"/>
    <w:rsid w:val="00012002"/>
    <w:rsid w:val="000330DC"/>
    <w:rsid w:val="000331D9"/>
    <w:rsid w:val="00043D53"/>
    <w:rsid w:val="00072B05"/>
    <w:rsid w:val="00084D2C"/>
    <w:rsid w:val="000872C3"/>
    <w:rsid w:val="00091A0D"/>
    <w:rsid w:val="00097AF6"/>
    <w:rsid w:val="000A1EC4"/>
    <w:rsid w:val="000A31EB"/>
    <w:rsid w:val="000A4E6A"/>
    <w:rsid w:val="000B2EF2"/>
    <w:rsid w:val="000B4E92"/>
    <w:rsid w:val="000B64EE"/>
    <w:rsid w:val="000C5935"/>
    <w:rsid w:val="000C7E39"/>
    <w:rsid w:val="000D145B"/>
    <w:rsid w:val="000E0F48"/>
    <w:rsid w:val="0010766C"/>
    <w:rsid w:val="00110133"/>
    <w:rsid w:val="0011267B"/>
    <w:rsid w:val="00132E53"/>
    <w:rsid w:val="00147FE2"/>
    <w:rsid w:val="001629BD"/>
    <w:rsid w:val="00162E25"/>
    <w:rsid w:val="00163974"/>
    <w:rsid w:val="001703E8"/>
    <w:rsid w:val="00175558"/>
    <w:rsid w:val="00190792"/>
    <w:rsid w:val="001C6A0D"/>
    <w:rsid w:val="001E0F34"/>
    <w:rsid w:val="001F59A9"/>
    <w:rsid w:val="002001D2"/>
    <w:rsid w:val="00222BC7"/>
    <w:rsid w:val="00222F97"/>
    <w:rsid w:val="00235225"/>
    <w:rsid w:val="00237FAE"/>
    <w:rsid w:val="0027710C"/>
    <w:rsid w:val="00277D61"/>
    <w:rsid w:val="002D7786"/>
    <w:rsid w:val="0031554B"/>
    <w:rsid w:val="00315617"/>
    <w:rsid w:val="003229F3"/>
    <w:rsid w:val="003638DB"/>
    <w:rsid w:val="00363AE9"/>
    <w:rsid w:val="003729ED"/>
    <w:rsid w:val="003852BE"/>
    <w:rsid w:val="00387A1B"/>
    <w:rsid w:val="00393546"/>
    <w:rsid w:val="0039451A"/>
    <w:rsid w:val="003964C7"/>
    <w:rsid w:val="003A6119"/>
    <w:rsid w:val="003B4FFD"/>
    <w:rsid w:val="003C66CD"/>
    <w:rsid w:val="003C68DF"/>
    <w:rsid w:val="003D2C36"/>
    <w:rsid w:val="003E7CEC"/>
    <w:rsid w:val="00410E16"/>
    <w:rsid w:val="0041754F"/>
    <w:rsid w:val="00423F93"/>
    <w:rsid w:val="00427DD7"/>
    <w:rsid w:val="00434835"/>
    <w:rsid w:val="00445A0E"/>
    <w:rsid w:val="00460EE2"/>
    <w:rsid w:val="00464D8E"/>
    <w:rsid w:val="004716E0"/>
    <w:rsid w:val="00480100"/>
    <w:rsid w:val="00482DC3"/>
    <w:rsid w:val="00492F07"/>
    <w:rsid w:val="004C023B"/>
    <w:rsid w:val="004F2040"/>
    <w:rsid w:val="004F6272"/>
    <w:rsid w:val="005011B7"/>
    <w:rsid w:val="00517194"/>
    <w:rsid w:val="00517514"/>
    <w:rsid w:val="0052567B"/>
    <w:rsid w:val="00552ACE"/>
    <w:rsid w:val="00561C3A"/>
    <w:rsid w:val="00563B7C"/>
    <w:rsid w:val="00570646"/>
    <w:rsid w:val="00595B0E"/>
    <w:rsid w:val="005B6AD9"/>
    <w:rsid w:val="005B712E"/>
    <w:rsid w:val="005D17A9"/>
    <w:rsid w:val="005E073C"/>
    <w:rsid w:val="005F1CE0"/>
    <w:rsid w:val="005F6EE3"/>
    <w:rsid w:val="00603676"/>
    <w:rsid w:val="00650309"/>
    <w:rsid w:val="00662CFF"/>
    <w:rsid w:val="006666FD"/>
    <w:rsid w:val="00690A08"/>
    <w:rsid w:val="006A62CD"/>
    <w:rsid w:val="006C1446"/>
    <w:rsid w:val="006D07C8"/>
    <w:rsid w:val="006D5FD9"/>
    <w:rsid w:val="006E552D"/>
    <w:rsid w:val="00704BA8"/>
    <w:rsid w:val="007330BE"/>
    <w:rsid w:val="007A20B9"/>
    <w:rsid w:val="007C14AA"/>
    <w:rsid w:val="007E0DE0"/>
    <w:rsid w:val="008029BA"/>
    <w:rsid w:val="0082746D"/>
    <w:rsid w:val="008455EE"/>
    <w:rsid w:val="00845D97"/>
    <w:rsid w:val="00854DEF"/>
    <w:rsid w:val="00876287"/>
    <w:rsid w:val="008A6D26"/>
    <w:rsid w:val="008E683A"/>
    <w:rsid w:val="008E7722"/>
    <w:rsid w:val="008F61FA"/>
    <w:rsid w:val="0091198E"/>
    <w:rsid w:val="00941569"/>
    <w:rsid w:val="00943989"/>
    <w:rsid w:val="009551E9"/>
    <w:rsid w:val="00974A4F"/>
    <w:rsid w:val="009830CE"/>
    <w:rsid w:val="009943A8"/>
    <w:rsid w:val="0099523F"/>
    <w:rsid w:val="00995EB9"/>
    <w:rsid w:val="009B356E"/>
    <w:rsid w:val="009D11C2"/>
    <w:rsid w:val="00A24863"/>
    <w:rsid w:val="00A45D4A"/>
    <w:rsid w:val="00A57337"/>
    <w:rsid w:val="00AD5F5D"/>
    <w:rsid w:val="00AE38A5"/>
    <w:rsid w:val="00B05A2A"/>
    <w:rsid w:val="00B1796A"/>
    <w:rsid w:val="00B17D0C"/>
    <w:rsid w:val="00B222E9"/>
    <w:rsid w:val="00B25890"/>
    <w:rsid w:val="00B5255C"/>
    <w:rsid w:val="00B538FC"/>
    <w:rsid w:val="00B61B22"/>
    <w:rsid w:val="00B714E8"/>
    <w:rsid w:val="00B71CC3"/>
    <w:rsid w:val="00B90676"/>
    <w:rsid w:val="00B94513"/>
    <w:rsid w:val="00B977BB"/>
    <w:rsid w:val="00BA3635"/>
    <w:rsid w:val="00BA7197"/>
    <w:rsid w:val="00BB56EB"/>
    <w:rsid w:val="00BC031C"/>
    <w:rsid w:val="00BE6DC4"/>
    <w:rsid w:val="00BF7B82"/>
    <w:rsid w:val="00C026E0"/>
    <w:rsid w:val="00C22667"/>
    <w:rsid w:val="00C40B0C"/>
    <w:rsid w:val="00C451B4"/>
    <w:rsid w:val="00C56B46"/>
    <w:rsid w:val="00C76651"/>
    <w:rsid w:val="00CA7F4E"/>
    <w:rsid w:val="00CB3D3E"/>
    <w:rsid w:val="00CC1D55"/>
    <w:rsid w:val="00D41DBE"/>
    <w:rsid w:val="00D736BD"/>
    <w:rsid w:val="00D847D3"/>
    <w:rsid w:val="00D923E7"/>
    <w:rsid w:val="00D9698A"/>
    <w:rsid w:val="00DD6E9C"/>
    <w:rsid w:val="00DF0E7B"/>
    <w:rsid w:val="00E14371"/>
    <w:rsid w:val="00E25151"/>
    <w:rsid w:val="00E54F2F"/>
    <w:rsid w:val="00E83F65"/>
    <w:rsid w:val="00E94CD0"/>
    <w:rsid w:val="00EA6206"/>
    <w:rsid w:val="00EB2030"/>
    <w:rsid w:val="00EC226C"/>
    <w:rsid w:val="00EC67CA"/>
    <w:rsid w:val="00ED772D"/>
    <w:rsid w:val="00F22DD0"/>
    <w:rsid w:val="00F26802"/>
    <w:rsid w:val="00F46E4D"/>
    <w:rsid w:val="00F917E8"/>
    <w:rsid w:val="00F95AC9"/>
    <w:rsid w:val="00FA5270"/>
    <w:rsid w:val="00FA787A"/>
    <w:rsid w:val="00FC754C"/>
    <w:rsid w:val="00FE259C"/>
    <w:rsid w:val="00FF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77022-4C7B-4111-8EBD-7EA6BBA7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yilmaz.ozdamar</cp:lastModifiedBy>
  <cp:revision>42</cp:revision>
  <cp:lastPrinted>2015-04-08T10:31:00Z</cp:lastPrinted>
  <dcterms:created xsi:type="dcterms:W3CDTF">2013-10-10T08:07:00Z</dcterms:created>
  <dcterms:modified xsi:type="dcterms:W3CDTF">2015-04-17T09:17:00Z</dcterms:modified>
</cp:coreProperties>
</file>